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CB2" w:rsidRDefault="00703CB2" w:rsidP="00703CB2">
      <w:pPr>
        <w:pStyle w:val="tkNazvanie"/>
        <w:spacing w:before="0" w:after="0" w:line="240" w:lineRule="auto"/>
        <w:ind w:right="-1"/>
        <w:contextualSpacing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Проект</w:t>
      </w:r>
    </w:p>
    <w:p w:rsidR="00703CB2" w:rsidRDefault="00703CB2" w:rsidP="00703CB2">
      <w:pPr>
        <w:pStyle w:val="tkNazvanie"/>
        <w:spacing w:before="0" w:after="0" w:line="240" w:lineRule="auto"/>
        <w:ind w:right="-1"/>
        <w:contextualSpacing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703CB2" w:rsidRPr="002C6D32" w:rsidRDefault="00703CB2" w:rsidP="009C25E6">
      <w:pPr>
        <w:pStyle w:val="tkNazvanie"/>
        <w:spacing w:before="0" w:after="0" w:line="240" w:lineRule="auto"/>
        <w:ind w:left="5103" w:right="-1"/>
        <w:contextualSpacing/>
        <w:jc w:val="both"/>
        <w:rPr>
          <w:rFonts w:ascii="Times New Roman" w:hAnsi="Times New Roman" w:cs="Times New Roman"/>
          <w:b w:val="0"/>
          <w:szCs w:val="26"/>
        </w:rPr>
      </w:pPr>
      <w:r w:rsidRPr="002C6D32">
        <w:rPr>
          <w:rFonts w:ascii="Times New Roman" w:hAnsi="Times New Roman" w:cs="Times New Roman"/>
          <w:b w:val="0"/>
          <w:szCs w:val="26"/>
        </w:rPr>
        <w:t xml:space="preserve">Приложение </w:t>
      </w:r>
      <w:r w:rsidR="00EF3286">
        <w:rPr>
          <w:rFonts w:ascii="Times New Roman" w:hAnsi="Times New Roman" w:cs="Times New Roman"/>
          <w:b w:val="0"/>
          <w:szCs w:val="26"/>
        </w:rPr>
        <w:t>1</w:t>
      </w:r>
    </w:p>
    <w:p w:rsidR="00703CB2" w:rsidRPr="002C6D32" w:rsidRDefault="00703CB2" w:rsidP="009C25E6">
      <w:pPr>
        <w:pStyle w:val="tkNazvanie"/>
        <w:spacing w:before="0" w:after="0" w:line="240" w:lineRule="auto"/>
        <w:ind w:left="5103" w:right="-1"/>
        <w:contextualSpacing/>
        <w:jc w:val="both"/>
        <w:rPr>
          <w:rFonts w:ascii="Times New Roman" w:hAnsi="Times New Roman" w:cs="Times New Roman"/>
          <w:b w:val="0"/>
          <w:szCs w:val="26"/>
        </w:rPr>
      </w:pPr>
      <w:r w:rsidRPr="002C6D32">
        <w:rPr>
          <w:rFonts w:ascii="Times New Roman" w:hAnsi="Times New Roman" w:cs="Times New Roman"/>
          <w:b w:val="0"/>
          <w:szCs w:val="26"/>
        </w:rPr>
        <w:t>к</w:t>
      </w:r>
      <w:r w:rsidR="00EF3286">
        <w:rPr>
          <w:rFonts w:ascii="Times New Roman" w:hAnsi="Times New Roman" w:cs="Times New Roman"/>
          <w:b w:val="0"/>
          <w:szCs w:val="26"/>
        </w:rPr>
        <w:t xml:space="preserve"> приказу</w:t>
      </w:r>
      <w:r w:rsidRPr="002C6D32">
        <w:rPr>
          <w:rFonts w:ascii="Times New Roman" w:hAnsi="Times New Roman" w:cs="Times New Roman"/>
          <w:b w:val="0"/>
          <w:szCs w:val="26"/>
        </w:rPr>
        <w:t xml:space="preserve"> </w:t>
      </w:r>
      <w:r w:rsidR="00EF3286">
        <w:rPr>
          <w:rFonts w:ascii="Times New Roman" w:hAnsi="Times New Roman" w:cs="Times New Roman"/>
          <w:b w:val="0"/>
          <w:szCs w:val="26"/>
        </w:rPr>
        <w:t>ГНС при МФ КР</w:t>
      </w:r>
    </w:p>
    <w:p w:rsidR="00703CB2" w:rsidRPr="002C6D32" w:rsidRDefault="00703CB2" w:rsidP="009C25E6">
      <w:pPr>
        <w:pStyle w:val="tkNazvanie"/>
        <w:spacing w:before="0" w:after="0" w:line="240" w:lineRule="auto"/>
        <w:ind w:left="5103" w:right="-1"/>
        <w:contextualSpacing/>
        <w:jc w:val="both"/>
        <w:rPr>
          <w:rFonts w:ascii="Times New Roman" w:hAnsi="Times New Roman" w:cs="Times New Roman"/>
          <w:b w:val="0"/>
          <w:szCs w:val="26"/>
        </w:rPr>
      </w:pPr>
      <w:r w:rsidRPr="002C6D32">
        <w:rPr>
          <w:rFonts w:ascii="Times New Roman" w:hAnsi="Times New Roman" w:cs="Times New Roman"/>
          <w:b w:val="0"/>
          <w:szCs w:val="26"/>
        </w:rPr>
        <w:t>от ___________ ______ года № _____</w:t>
      </w:r>
    </w:p>
    <w:p w:rsidR="00703CB2" w:rsidRDefault="00703CB2" w:rsidP="00703CB2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703CB2" w:rsidRDefault="00703CB2" w:rsidP="00703CB2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703CB2" w:rsidRPr="00703CB2" w:rsidRDefault="00703CB2" w:rsidP="00703CB2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703CB2">
        <w:rPr>
          <w:rFonts w:ascii="Times New Roman" w:hAnsi="Times New Roman" w:cs="Times New Roman"/>
          <w:sz w:val="26"/>
          <w:szCs w:val="26"/>
        </w:rPr>
        <w:t>ПОРЯДОК</w:t>
      </w:r>
      <w:r w:rsidRPr="00703CB2">
        <w:rPr>
          <w:rFonts w:ascii="Times New Roman" w:hAnsi="Times New Roman" w:cs="Times New Roman"/>
          <w:sz w:val="26"/>
          <w:szCs w:val="26"/>
        </w:rPr>
        <w:br/>
        <w:t>оформления и применения счета-фактуры</w:t>
      </w:r>
    </w:p>
    <w:p w:rsidR="002C6D32" w:rsidRDefault="002C6D3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03CB2" w:rsidRP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1. Общие положения</w:t>
      </w:r>
    </w:p>
    <w:p w:rsidR="00703CB2" w:rsidRPr="00703CB2" w:rsidRDefault="00703CB2" w:rsidP="002C6D32">
      <w:pPr>
        <w:spacing w:after="0" w:line="240" w:lineRule="auto"/>
        <w:ind w:left="1134" w:right="1134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Настоящий Порядок определяет процедуры оформления и применения счета-фактуры в виде электронного документа налогоплательщиками, применяющими счета-фактуры в виде электронного документа и на бумажном носителе.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2. В настоящем Порядке используются следующие термины и определения: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виртуальный склад</w:t>
      </w: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компонент информационной системы налогового администрирования Кыргызской Республики, позволяющий осуществлять учет товаров и электронных документов;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информационная система счетов-фактур в виде электронного документа</w:t>
      </w: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модуль информационной системы налогового администрирования Кыргызской Республики, используемой органами налоговой службы (далее - ИС ЭСФ);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3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</w:t>
      </w:r>
      <w:r w:rsidR="00EF3286" w:rsidRPr="00EF328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налогоплательщик</w:t>
      </w:r>
      <w:r w:rsidR="00EF3286" w:rsidRPr="00EF3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субъект, на которого возлагается обязанность уплачивать налоги при наличии обстоятельств и оформлять счет-фактуру согласно налоговому законодательству Кыргызской Республики;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</w:t>
      </w: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счет-фактура</w:t>
      </w: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налоговый документ, оформляемый налогоплательщиком при реализации товара, выполнении работ и оказании услуг в соответствии с налоговым законодательством Кыргызской Республики.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3. Термины и определения, используемые в настоящем Порядке, трактуются в значении, определенном настоящим Порядком. В случае отсутствия трактовки терминов и определений в настоящем Порядке, термины и определения трактуются в значении, определенном налоговым законодательством Кыргызской Республики и/или нормативными правовыми актами Евразийского экономического союза.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4. Виды счета-фактуры: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1) счет-фактура в виде электронного документа (далее - ЭСФ);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2) счет-фактура на бумажном носителе (далее - ЭСФ на бумажном носителе).</w:t>
      </w:r>
    </w:p>
    <w:p w:rsid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1" w:name="g2"/>
      <w:bookmarkEnd w:id="1"/>
    </w:p>
    <w:p w:rsid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2. Общие требования к оформлению счета-фактуры</w:t>
      </w:r>
    </w:p>
    <w:p w:rsidR="00703CB2" w:rsidRPr="00672819" w:rsidRDefault="00703CB2" w:rsidP="002C6D32">
      <w:pPr>
        <w:spacing w:after="0" w:line="240" w:lineRule="auto"/>
        <w:ind w:left="1134" w:right="1134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Стоимостные показатели, включая цену товара, работы, услуги, а также суммы налогов, указываются в счете-фактуре в национальной валюте Кыргызской Республики - в сомах и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тыйынах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 При реализации (поставке) товара, работы/услуги на экспорт, стоимостные показатели (цена, стоимость, суммы налогов, а также общая стоимость товара, работы/услуги) указываются в счете-фактуре в национальной валюте.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этом во второй итоговой строке стоимостные показатели (стоимость и общая стоимость) указываются в валюте согласно заключенному договору (контракту).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7. Счет-фактура оформляется единым счетом-фактурой не позднее 10 рабочих дней месяца, следующего за предыдущим месяцем, на основе накопленной месячной учетной документации в соответствии с налоговой политикой, утвержденной налогоплательщиком: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случаях, предусмотренных статьей 178 Налогового кодекса Кыргызской Республики;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при безвозмездной реализации (поставке) товаров, работ и/или услуг населению в ходе рекламных акций;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при оказании платных услуг населению через </w:t>
      </w:r>
      <w:r w:rsidR="00EF3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банки </w:t>
      </w: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ведении расчетов через электронный терминал и банкоматы.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8. В счет-фактуре, оформленном в случаях, предусмотренных пунктом 7 настоящего Порядка, не учитываются учетные документации, за которые были оформлены отдельные счета-фактуры по требованию покупателя.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9. ЭСФ, кроме обязательных реквизитов, установленных настоящим Порядком, может содержать дополнительную информацию.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При осуществлении поставки товара, включенного в Перечень маркируемых товаров и/или товаров, подлежащих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прослеживаемости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Евразийского экономического союза (далее - ЕАЭС), утверждаемый решением Евразийской экономической комиссии, оформляется отдельный счет-фактура.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11. Счет-фактура не оформляется на остаток товарно-материальных запасов, основных средств и нематериальных активов, включенных в облагаемые поставки, при аннулировании регистрации как налогоплательщика налога на добавленную стоимость (далее - НДС), а также на поступившую предварительную оплату.</w:t>
      </w:r>
    </w:p>
    <w:p w:rsidR="00703CB2" w:rsidRDefault="00703CB2" w:rsidP="00703CB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2" w:name="g3"/>
      <w:bookmarkEnd w:id="2"/>
    </w:p>
    <w:p w:rsidR="00703CB2" w:rsidRPr="00703CB2" w:rsidRDefault="00703CB2" w:rsidP="00703CB2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3. Порядок заполнения формы счета-фактуры в виде электронного документа на товары</w:t>
      </w:r>
    </w:p>
    <w:p w:rsidR="00703CB2" w:rsidRDefault="00703CB2" w:rsidP="00703CB2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3" w:name="p1"/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§ 1. Заполнение раздела 1 «Реквизиты поставщика и покупателя»</w:t>
      </w:r>
    </w:p>
    <w:p w:rsidR="00703CB2" w:rsidRPr="00672819" w:rsidRDefault="00703CB2" w:rsidP="00703CB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12. Ячейки 102 и 103 заполняются в автоматическом режиме ИС ЭСФ.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13. Ячейка 101 «Статус» заполняется ИС ЭСФ автоматически и может содержать одну из следующих записей: первоначальный (принят/отклонен), отозванный, корректировочный (принят/отклонен).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Статусы «новый» и «отправленный» являются промежуточными и означают что: «новый» - ЭСФ сформирован и не подписан поставщиком, «отправленный» - ЭСФ сформирован, подписан и отправлен поставщиком и еще не рассмотрен покупателем.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14. В ячейке 201 указывается идентификационный номер налогоплательщика (далее - ИНН) - поставщика товара, то есть организации или индивидуального предпринимателя (далее - ИП).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15. В ячейке 202 указываются следующие реквизиты поставщика: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1) полное наименование организации согласно договору (контракту), в случае если поставщиком является организация;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фамилия, имя и отчество ИП, в случае если поставщиком является ИП.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Данная ячейка должна быть также заполнена, если реализация (поставка) осуществляется филиалом поставщика.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16. В ячейках 203 и 204 указываются ИНН и наименование филиала поставщика, если реализация (поставка) осуществляется филиалом поставщика.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этом, филиал вправе использовать отдельную электронную подпись, полученную в порядке, установленном законодательством Кыргызской Республики в сфере электронного управления и электронной подписи.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реализация (поставка) товара осуществляется самим поставщиком, данные ячейки не заполняются.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17. В ячейке 205 указывается юридический адрес или фактическое местонахождение поставщика товара (наименование населенного пункта, улицы, номер дома, офиса, квартиры и т.д.).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18. В ячейке 206 указываются код и наименование налогового органа по месту налоговой регистрации поставщика товара.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19. В ячейке 207 указываются банковский идентификационный код  (далее - БИК), наименование банка, где поставщик имеет счет.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случае, если поставщик для оплаты поставки не использовал банковский счет, то ячейка не заполняется.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20. В ячейке 208 указывается номер счета поставщика в банке. Данная ячейка не заполняется, если ячейка 207 не заполнена.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21. В ячейке 301 указывается ИНН покупателя товара, то есть организации, ИП или физического лица.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ИНН покупателя-нерезидента Кыргызской Республики состоит из цифровых обозначений, превышающих 14 знаков, указываются первые 14 (четырнадцать) знаков.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ИНН покупателя-нерезидента Кыргызской Республики состоит из цифровых обозначений, не превышающих 14 (четырнадцать) знаков, указывается имеющееся количество знаков.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у покупателя-нерезидента Кыргызской Республики отсутствует ИНН, или при оформлении реализации через контрольно-кассовые машины (далее - ККМ), цифра «9» указывается четырнадцать раз.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22. В ячейке 302 указываются следующие реквизиты покупателя: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полное наименование организации согласно договору (контракту), в случае если покупателем является организация;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фамилия, имя и отчество ИП либо физического лица, в случае если покупателем является ИП или физическое лицо.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оформлении ЭСФ для отражения реализации через ККМ указывается запись «ККМ».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23. В ячейках 303 и 304 указываются ИНН и наименование филиала покупателя, в случае если реализация (поставка) осуществляется в адрес филиала покупателя.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реализация (поставка) товара осуществляется в адрес самого покупателя, то данные ячейки не заполняются.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24. В ячейке 305 указывается юридический адрес или фактическое местонахождение покупателя товара (наименование населенного пункта, улицы, номер дома, офиса, квартиры и т.д.).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покупателем является нерезидент Кыргызской Республики, указывается наименование страны.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25. В ячейке 306 указываются код и наименование налогового органа по месту налоговой регистрации покупателя товара.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отсутствии у покупателя - физического лица налоговой регистрации - указываются цифры «555».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ЭСФ оформляется покупателю-нерезиденту Кыргызской Республики, то в ячейке 306 указываются код и наименование страны.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26. В ячейке 307 указываются БИК и наименование банка, где покупатель имеет счет.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случае, если для оплаты поставки не использовался банковский счет покупателя, то ячейка не заполняется.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27. В ячейке 308 указывается номер счета в банке. Данная ячейка не заполняется, если ячейка 307 не заполнена.</w:t>
      </w:r>
    </w:p>
    <w:p w:rsid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4" w:name="p2"/>
    </w:p>
    <w:p w:rsid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§ 2. Заполнение раздела 2 «Информация о реализации»</w:t>
      </w:r>
    </w:p>
    <w:p w:rsidR="00703CB2" w:rsidRP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28. В ячейке 401 указывается дата фактической реализации (поставки) товара.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оформления корректировочного ЭСФ указывается дата корректировки поставки.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Например: налогоплательщик осуществил поставку с указанием в ЭСФ дату фактической поставки 20 августа, которую корректирует 15 сентября. В данном случае, в ячейке 401 корректировочного ЭСФ указывается дата корректировки поставки 15 сентября.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29. В ячейке 402 указывается вид реализации (поставки) товара: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экспорт;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облагаемая по ставке 12%;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облагаемая по ставке «0»;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4) освобожденная;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5) необлагаемая.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30. В ячейке 403 указывается форма оплаты: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безналичная: банковский платеж, товарообмен;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б) наличная;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в) безвозмездная;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31. В ячейке 404 указывается номер из учетной бухгалтерской системы налогоплательщика, или иная информация необходимая налогоплател</w:t>
      </w:r>
      <w:r w:rsidR="00EF3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ьщику для удобства работы с ЭСФ, </w:t>
      </w:r>
      <w:r w:rsidR="00EF3286" w:rsidRPr="00EF3286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 данной информации ячейка не заполняется.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32. В ячейке 405 указываются дата и номер договора (контракта), на </w:t>
      </w:r>
      <w:r w:rsidRPr="00EF3286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основании которого осуществляется реализация (по</w:t>
      </w:r>
      <w:r w:rsidR="00EF3286" w:rsidRPr="00EF328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ставка) товара, при его наличии, в случае отсутствия договора (контракта) ячейка не заполняется.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33. Ячейки 406 и 407 заполняются в случае оформления корректировочного ЭСФ для проведения корректировки стоимости поставки при изменении условий сделки, то есть при: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1) полном или частичном возврате товара; 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изменении цены;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возврате оплаты за товар.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34. При оформлении ЭСФ, в случае, указанном в пункте 33 настоящего Порядка, должны быть указаны: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номер оформления ЭСФ, к которому оформляется корректировочный ЭСФ, а также причины корректировки;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наименование товаров, по которым корректируется поставка;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размер корректировки количественных и стоимостных показателей, предусмотренных в ЭСФ, в зависимости от причин корректировки размера поставки.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корректировка поставки производится в сторону уменьшения, то размеры количественных и стоимостных показателей указываются со знаком минус «-», если в сторону увеличения - без знака «-».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полном или частичном возврате товаров или оплаты за товар размеры количественных и стоимостных показателей указываются со знаком минус «-».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Корректировочный ЭСФ оформляется исключительно к первоначальному ЭСФ, оформленному при осуществлении поставки. Не подлежат корректировке показатели корректировочного ЭСФ.</w:t>
      </w:r>
    </w:p>
    <w:p w:rsid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5" w:name="p3"/>
    </w:p>
    <w:p w:rsid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§ 3. Заполнение раздела 3 «Информация о товаре»</w:t>
      </w:r>
    </w:p>
    <w:p w:rsidR="00703CB2" w:rsidRP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35. В разделе 3 ЭСФ указываются: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код валюты и официальный курс валюты Национального банка Кыргызской Республики на день оформления ЭСФ, при поставке товаров на экспорт;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отметка в ячейке «товар, подлежащий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прослеживаемости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при реализации (поставке) товара, подлежащего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прослеживаемости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праву ЕАЭС и/или налогового законодательства Кыргызской Республики;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в графе «№ п/п» - порядковый номер строки;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4) в графе «Код товара» - без пробелов код товарной позиции согласно справочнику товаров в ИС ЭСФ, с количеством знаков не менее десяти;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5) в графе «Наименование товара» - наименование поставляемого товара;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6) в графе «Единица измерения» - единица измерения товара. Единица измерения указывается согласно справочнику товаров в ИС ЭСФ;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7) в графе «Цена за единицу» - цена за единицу товара;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8) в графе «Количество (объем)» - количество или объем товара;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9) в графе «Стоимость товара без НДС и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- стоимость товара без учета НДС и налога с продаж (далее -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10) в подграфах «Ставка», «Сумма» графы «НДС» - размер ставки и суммы НДС, соответственно. Итоговая сумма по подграфе «Сумма» заполняется, если товар подлежит налогообложению НДС;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поставки товаров одному покупателю с применением различных ставок НДС облагаемым субъектом оформляется ЭСФ отдельно по каждой ставке НДС.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11) в подграфах «Ставка», «Сумма» графы «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- размер ставки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суммы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соответственно. Итоговая сумма по подграфе «Сумма» заполняется, если товар подлежит налогообложению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В случае поставки товаров одному покупателю с применением различных ставок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облагаемым субъектом оформляется ЭСФ отдельно по каждой ставке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12) в графе «Общая стоимость товара» - общая стоимость товара.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36. В случае осуществления реализации (поставок) товаров, освобожденных или необлагаемых НДС и/или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подграфах «Ставка» и «Сумма» граф «НДС» и «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указывается цифра «0».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37. Графа «Реквизиты таможенной декларации или ЭСФ» заполняется при реализации товаров подлежащих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прослеживаемости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правом ЕАЭС и/или Кыргызской Республики. В данной графе в обязательном порядке указываются: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либо регистрационный номер таможенной декларации, согласно которой осуществлен выпуск в свободное обращение товара, импортированного из стран, не являющихся государствами-членами ЕАЭС;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либо номер ЭСФ, согласно которому товар был приобретен налогоплательщиком, осуществляющим оборот товара, включенного в Перечень товаров, подлежащих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прослеживаемости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ЕАЭС;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номер строки в таможенной декларации, в которой указан ввезенный товар.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реализации товара, не подлежащего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прослеживаемости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, данная графа не заполняется.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38. ЭСФ должен быть подписан электронной подписью согласно требованиям налогового законодательства, законодательства об электронной подписи руководителем организации или ИП, или бухгалтером, или налоговым представителем, уполномоченным представлять интересы налогоплательщика на основании доверенности.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39. В ячейке 450 указываются фамилия, имя и отчество руководителя организации или ИП, или бухгалтера, или налогового представителя.</w:t>
      </w:r>
    </w:p>
    <w:p w:rsidR="00703CB2" w:rsidRPr="00703CB2" w:rsidRDefault="00703CB2" w:rsidP="00703CB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6" w:name="g4"/>
      <w:bookmarkEnd w:id="6"/>
    </w:p>
    <w:p w:rsidR="00703CB2" w:rsidRPr="00703CB2" w:rsidRDefault="00703CB2" w:rsidP="00703CB2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4. Порядок заполнения формы счета-фактуры в виде электронного документа на работы и/или услуги</w:t>
      </w:r>
    </w:p>
    <w:bookmarkEnd w:id="3"/>
    <w:p w:rsidR="00703CB2" w:rsidRDefault="00703CB2" w:rsidP="00703CB2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§ 1. Заполнение раздела 1 «Реквизиты поставщика и покупателя»</w:t>
      </w:r>
    </w:p>
    <w:p w:rsidR="00703CB2" w:rsidRPr="00672819" w:rsidRDefault="00703CB2" w:rsidP="00703CB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40. Ячейки 102 и 103 заполняются в автоматическом режиме ИС ЭСФ.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41. Ячейка 101 «Статус» заполняется ИС ЭСФ автоматически и содержит одну из следующих записей: первоначальный (принят/отклонен), отозванный, корректировочный (принят/отклонен).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Статусы «новый» и «отправленный» являются промежуточными и означают, что: «новый» - ЭСФ сформирован и не подписан поставщиком, «отправленный» - ЭСФ сформирован, подписан и отправлен поставщиком и еще не рассмотрен покупателем.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42. В ячейке 201 указывается ИНН поставщика работы и/или услуги, то есть организации или ИП.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43. В ячейке 202 указывается полное наименование организации в соответствии с учредительными документами или фамилия, имя и отчество ИП.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44. В ячейках 203 и 204 указываются ИНН и наименование филиала поставщика, если реализация (поставка) осуществляется филиалом поставщика.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Если реализация (поставка) работы и/или услуги осуществляется самим поставщиком, то данные ячейки не заполняются.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45. В ячейке 205 указывается юридический адрес или фактическое местонахождение поставщика работы и/или услуги (наименование населенного пункта, улицы, номер дома, офиса, квартиры и т.д.).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46. В ячейке 206 указываются код и наименование налогового органа по месту налоговой регистрации поставщика работы и/или услуги.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47. В ячейке 207 указываются БИК и наименование банка, где поставщик имеет счет.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случае, если поставщик для оплаты по данной поставке не использовал банковский счет, то ячейка не заполняется.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48. В ячейке 208 указывается номер счета поставщика в банке. Данная ячейка не заполняется, если ячейка 207 не заполнена.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49. В ячейке 301 указывается ИНН покупателя работы и/или услуги, то есть организации, ИП или физического лица.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ИНН покупателя-нерезидента Кыргызской Республики состоит из цифровых обозначений, превышающих 14 знаков, указываются первые 14 знаков.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ИНН покупателя-нерезидента Кыргызской Республики состоит из цифровых обозначений, не превышающих 14 знаков, указывается имеющееся количество знаков.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у покупателя-нерезидента Кыргызской Республики отсутствует ИНН, или при оформлении ЭСФ на услуги, реализованные через ККМ, цифра «9» указывается четырнадцать раз.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50. В ячейке 302 указываются следующие реквизиты покупателя: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полное наименование организации согласно договору (контракту), если покупателем является организация;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фамилия, имя и отчество ИП либо физического лица, если покупателем является ИП или физическое лицо;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при оформлении ЭСФ для отражения реализации через ККМ указывается запись «ККМ».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51. В ячейках 303 и 304 указываются ИНН и наименование филиала покупателя, если реализация (поставка) осуществляется в адрес филиала покупателя.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реализация (поставка) работы и/или услуги осуществляется в адрес самого покупателя, то данные ячейки не заполняются.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52. В ячейке 305 указывается юридический адрес или фактическое местонахождение покупателя работы и/или услуги (наименование населенного пункта, улицы, номер дома, офиса, квартиры и т.д.).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покупателем является нерезидент Кыргызской Республики, указывается наименование страны.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53. В ячейке 306 указываются код и наименование налогового органа по месту налоговой регистрации покупателя работы и/или услуги.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отсутствии у покупателя - физического лица налоговой регистрации – указываются цифры «555».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ЭСФ оформляется покупателю-нерезиденту Кыргызской Республики, то в ячейке 306 указываются код и наименование страны.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54. В ячейке 307 указываются БИК и наименование банка, где покупатель имеет счет.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случае, если для оплаты по данной поставке не использовался банковский счет покупателя, то ячейка не заполняется.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55. В ячейке 308 указывается номер счета в банке. Данная ячейка не заполняется, если ячейка 307 не заполнена.</w:t>
      </w:r>
    </w:p>
    <w:p w:rsidR="00703CB2" w:rsidRPr="00703CB2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4"/>
    <w:p w:rsid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§ 2. Заполнение раздела 2 «Информация о реализации»</w:t>
      </w:r>
    </w:p>
    <w:p w:rsidR="00703CB2" w:rsidRPr="00672819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56. В ячейке 401 указывается дата реализации (поставки) работы и/или услуги согласно договору (контракту).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оформления корректировочного ЭСФ указывается дата корректировки поставки.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Например: налогоплательщик осуществил поставку с указанием в ЭСФ даты поставки 20 августа, которую корректирует 15 сентября. В данном случае, в ячейке 401 корректировочного ЭСФ указывается дата корректировки поставки 15 сентября.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57. В ячейке 402 указывается вид реализации (поставки) работы и/или услуги: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экспорт;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облагаемая 12%;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облагаемая по ставке «0»;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4) освобожденная;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5) необлагаемая.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58. В ячейке 403 указывается форма оплаты: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безналичная: банковский платеж, товарообмен;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наличная;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безвозмездная.</w:t>
      </w:r>
    </w:p>
    <w:p w:rsidR="00EF3286" w:rsidRPr="00672819" w:rsidRDefault="00703CB2" w:rsidP="00EF328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59. В ячейке 404 указываются дата и номер договора (контракта), на основании которого осуществляется данная реализация (поставка) работы </w:t>
      </w:r>
      <w:r w:rsidR="00EF3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и/или </w:t>
      </w:r>
      <w:r w:rsidR="00EF3286" w:rsidRPr="00EF3286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услуги, при его наличии, в случае отсутствия договора (контракта) ячейка не заполняется.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60. Ячейки 405 и 406 заполняются в случае оформления корректировочного ЭСФ для проведения корректировки стоимости поставки при изменении условий сделки, то есть при: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изменении цены;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отказе от выполненных работ и/или оказанных услуг;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возврате оплаты за работы и/или услуги.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61. При оформлении ЭСФ в случае, указанном в пункте 60 настоящего Порядка, в обязательном порядке должны быть указаны: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номер, дата оформления ЭСФ, к которому оформляется корректировочный ЭСФ, а также причины корректировки;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наименование работ и услуг, по которым корректируется поставка;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размер корректировки количественных и стоимостных показателей, предусмотренных в ЭСФ, в зависимости от причин корректировки размера поставки.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Если корректировка поставки производится в сторону уменьшения, то размеры количественных и стоимостных показателей указываются со знаком минус «-», если в сторону увеличения – без знака «-».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отказе и/или возврате оплаты от/за работы и/или услуги размеры количественных и стоимостных показателей указываются со знаком минус «-».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Корректировочный ЭСФ оформляется исключительно к первоначальному ЭСФ, оформленному при осуществлении поставки. Не подлежат корректировке показатели корректировочного ЭСФ.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62. В ячейке 407 указывается номер из учетной бухгалтерской системы налогоплательщика, или иная информация, необходимая налогоплател</w:t>
      </w:r>
      <w:r w:rsidR="00EF3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ьщику для </w:t>
      </w:r>
      <w:r w:rsidR="00EF3286" w:rsidRPr="00EF3286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удобства работы с ЭСФ, в случае отсутствия данной информации ячейка не заполняется.</w:t>
      </w:r>
    </w:p>
    <w:p w:rsidR="00703CB2" w:rsidRPr="00703CB2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5"/>
    <w:p w:rsidR="00703CB2" w:rsidRDefault="00703CB2" w:rsidP="00703CB2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§ 3. Заполнение раздела 3 «Информация о работе и/или услуге»</w:t>
      </w:r>
    </w:p>
    <w:p w:rsidR="00703CB2" w:rsidRPr="00672819" w:rsidRDefault="00703CB2" w:rsidP="00703CB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63. В разделе 3 ЭСФ указываются: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код валюты и официальный курс валюты Национального банка Кыргызской Республики на день оформления ЭСФ, при поставке работ/услуг на экспорт;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в графе «№ п/п» - порядковый номер строки;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в графе «Код работы и/или услуги» - код работы или услуги на уровне четырех знаков согласно справочнику работ и/или услуг в ИС ЭСФ;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4) в графе «Наименование работы и/или услуги» - наименование работы и/или услуги;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5) в графе «Единица измерения» - единица измерения работы и/или услуги. Единица измерения указывается согласно справочнику работ и/или услуг в ИС ЭСФ;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6) в графе «Цена за единицу» - цена за единицу работы и/или услуги;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7) в графе «Количество (объем)» - количество или объем работы и/или услуги;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8) в графе «Стоимость работы и/или услуги без НДС и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- стоимость работы и/или услуги без учета НДС и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9) в подграфах «Ставка», «Сумма» графы «НДС» - размер ставки и суммы НДС, соответственно. Итоговая сумма по подграфе «Сумма» заполняется, если работа и/или услуга подлежит налогообложению НДС;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поставки работ и/или услуг одному покупателю с применением различных ставок НДС облагаемым субъектом оформляется ЭСФ отдельно по каждой ставке НДС;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10) в подграфах «Ставка», «Сумма» графы «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- размер ставки и суммы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соответственно. Итоговая сумма по подграфе «Сумма» заполняется, если работа и/или услуга подлежит налогообложению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поставки работ и/или услуг одному покупателю с применением различных ставок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облагаемым субъектом оформляется ЭСФ отдельно по каждой ставке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11) в графе «Общая стоимость работы и/или услуги» - общая стоимость работы и/или услуги.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64. В случае осуществления реализации (поставок) работ и/или услуг, освобожденных или необлагаемых НДС и/или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подграфах «Ставка» и «Сумма» граф «НДС» и «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указывается цифра «0».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65. ЭСФ должен быть подписан электронной подписью согласно требованиям налогового законодательства, законодательства об электронной подписи руководителем организации или ИП или бухгалтером, или налоговым представителем, уполномоченным представлять интересы налогоплательщика на основании доверенности.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66. В ячейке 450 указываются фамилия, имя и отчество руководителя организации или ИП, или бухгалтера, или налогового представителя.</w:t>
      </w:r>
    </w:p>
    <w:p w:rsidR="00703CB2" w:rsidRP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7" w:name="g5"/>
      <w:bookmarkEnd w:id="7"/>
    </w:p>
    <w:p w:rsidR="00703CB2" w:rsidRDefault="00703CB2" w:rsidP="00703CB2">
      <w:pPr>
        <w:spacing w:after="0" w:line="240" w:lineRule="auto"/>
        <w:ind w:left="709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5. Порядок заполнения формы счета-фактуры на бумажном носителе на товары, а также на работы и/или услуги</w:t>
      </w:r>
    </w:p>
    <w:p w:rsidR="00703CB2" w:rsidRPr="00703CB2" w:rsidRDefault="00703CB2" w:rsidP="00703CB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03CB2" w:rsidRPr="00703CB2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67. В ячейке 102 указывается номер ЭСФ на бумажном носителе, выданный налоговым органом в установленном порядке.</w:t>
      </w:r>
    </w:p>
    <w:p w:rsidR="00703CB2" w:rsidRPr="00703CB2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68. В ячейке 103 указывается дата оформления ЭСФ на бумажном носителе.</w:t>
      </w:r>
    </w:p>
    <w:p w:rsidR="00703CB2" w:rsidRPr="00703CB2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69. Остальные разделы ЭСФ на бумажном носителе заполняются в соответствии с главами 3 и 4</w:t>
      </w:r>
      <w:r w:rsidRPr="00703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Порядка.</w:t>
      </w:r>
    </w:p>
    <w:p w:rsidR="00703CB2" w:rsidRPr="00703CB2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70. ЭСФ на бумажном носителе должен быть подписан руководителем организации или ИП, или бухгалтером, или уполномоченным лицом.</w:t>
      </w:r>
    </w:p>
    <w:p w:rsidR="00703CB2" w:rsidRPr="00703CB2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71. ЭСФ на бумажном носителе заверяется печатью организации, ИП - при ее наличии.</w:t>
      </w:r>
    </w:p>
    <w:p w:rsidR="00E7728E" w:rsidRPr="00703CB2" w:rsidRDefault="00703CB2" w:rsidP="00793F4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72. Облагаемые субъекты, оказывающие услуги электросвязи, </w:t>
      </w:r>
      <w:proofErr w:type="spellStart"/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теплоэнергии</w:t>
      </w:r>
      <w:proofErr w:type="spellEnd"/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, электроэнергии, водоснабжения, канализации, а также другие субъекты, оформляющие (выписывающие) ежемесячно более 5000 счетов-фактур, могут проставлять факсимиле на ЭСФ на бумажном носителе.</w:t>
      </w:r>
    </w:p>
    <w:sectPr w:rsidR="00E7728E" w:rsidRPr="00703CB2" w:rsidSect="00EE0CD8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044" w:rsidRDefault="001F6044" w:rsidP="009A7D42">
      <w:pPr>
        <w:spacing w:after="0" w:line="240" w:lineRule="auto"/>
      </w:pPr>
      <w:r>
        <w:separator/>
      </w:r>
    </w:p>
  </w:endnote>
  <w:endnote w:type="continuationSeparator" w:id="0">
    <w:p w:rsidR="001F6044" w:rsidRDefault="001F6044" w:rsidP="009A7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2664427"/>
      <w:docPartObj>
        <w:docPartGallery w:val="Page Numbers (Bottom of Page)"/>
        <w:docPartUnique/>
      </w:docPartObj>
    </w:sdtPr>
    <w:sdtEndPr/>
    <w:sdtContent>
      <w:p w:rsidR="009A7D42" w:rsidRDefault="009A7D4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89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044" w:rsidRDefault="001F6044" w:rsidP="009A7D42">
      <w:pPr>
        <w:spacing w:after="0" w:line="240" w:lineRule="auto"/>
      </w:pPr>
      <w:r>
        <w:separator/>
      </w:r>
    </w:p>
  </w:footnote>
  <w:footnote w:type="continuationSeparator" w:id="0">
    <w:p w:rsidR="001F6044" w:rsidRDefault="001F6044" w:rsidP="009A7D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271"/>
    <w:rsid w:val="001F6044"/>
    <w:rsid w:val="0025148E"/>
    <w:rsid w:val="002C6D32"/>
    <w:rsid w:val="00343D50"/>
    <w:rsid w:val="00554893"/>
    <w:rsid w:val="00560293"/>
    <w:rsid w:val="00672819"/>
    <w:rsid w:val="00682BDA"/>
    <w:rsid w:val="006C1271"/>
    <w:rsid w:val="00703CB2"/>
    <w:rsid w:val="00793F43"/>
    <w:rsid w:val="008E6517"/>
    <w:rsid w:val="009A7D42"/>
    <w:rsid w:val="009C25E6"/>
    <w:rsid w:val="00A56C44"/>
    <w:rsid w:val="00CB52AC"/>
    <w:rsid w:val="00D02505"/>
    <w:rsid w:val="00D9259C"/>
    <w:rsid w:val="00E4014A"/>
    <w:rsid w:val="00E7728E"/>
    <w:rsid w:val="00ED64AC"/>
    <w:rsid w:val="00EE0CD8"/>
    <w:rsid w:val="00EF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AFB266-8CA8-42E4-9898-606956753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1271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6C127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C127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C127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6C127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6C1271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C127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C12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1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27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A7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7D42"/>
  </w:style>
  <w:style w:type="paragraph" w:styleId="a8">
    <w:name w:val="footer"/>
    <w:basedOn w:val="a"/>
    <w:link w:val="a9"/>
    <w:uiPriority w:val="99"/>
    <w:unhideWhenUsed/>
    <w:rsid w:val="009A7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7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10</Pages>
  <Words>3467</Words>
  <Characters>19768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ГНС</cp:lastModifiedBy>
  <cp:revision>8</cp:revision>
  <cp:lastPrinted>2022-02-02T08:10:00Z</cp:lastPrinted>
  <dcterms:created xsi:type="dcterms:W3CDTF">2021-11-12T09:10:00Z</dcterms:created>
  <dcterms:modified xsi:type="dcterms:W3CDTF">2022-02-02T13:35:00Z</dcterms:modified>
</cp:coreProperties>
</file>